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A716" w14:textId="77777777" w:rsidR="005C2968" w:rsidRDefault="005C2968" w:rsidP="00C40FA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34BF96AE" w14:textId="77777777" w:rsidR="005C2968" w:rsidRDefault="005C2968" w:rsidP="00C40FA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3DD316F0" w14:textId="26EEDDCC" w:rsidR="00C40FA6" w:rsidRDefault="00C40FA6" w:rsidP="00C40FA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CF208B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Parish </w:t>
      </w:r>
      <w:proofErr w:type="gramStart"/>
      <w:r w:rsidRPr="00CF208B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name</w:t>
      </w:r>
      <w:r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:…</w:t>
      </w:r>
      <w:proofErr w:type="gramEnd"/>
      <w:r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……………………………..</w:t>
      </w:r>
    </w:p>
    <w:p w14:paraId="6623D312" w14:textId="77777777" w:rsidR="00C40FA6" w:rsidRDefault="00C40FA6" w:rsidP="00C40FA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07654A3C" w14:textId="77777777" w:rsidR="00C40FA6" w:rsidRDefault="00C40FA6" w:rsidP="00C40FA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Address:…</w:t>
      </w:r>
      <w:proofErr w:type="gramEnd"/>
      <w:r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………………………………</w:t>
      </w:r>
    </w:p>
    <w:p w14:paraId="53DD9A77" w14:textId="77777777" w:rsidR="00C40FA6" w:rsidRDefault="00C40FA6" w:rsidP="00C40FA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20AC6D1C" w14:textId="1205300D" w:rsidR="00866A77" w:rsidRPr="003065FA" w:rsidRDefault="00C85D84" w:rsidP="004130B9">
      <w:pPr>
        <w:spacing w:before="100" w:beforeAutospacing="1" w:after="100" w:afterAutospacing="1"/>
        <w:rPr>
          <w:rFonts w:ascii="Tahoma" w:eastAsia="Times New Roman" w:hAnsi="Tahoma" w:cs="Tahoma"/>
          <w:b/>
          <w:bCs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OUR </w:t>
      </w:r>
      <w:r w:rsidR="008125FA" w:rsidRPr="003065FA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GIFT IN A WILL</w:t>
      </w:r>
      <w:r w:rsidR="005808AA" w:rsidRPr="003065FA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 POLICY</w:t>
      </w:r>
    </w:p>
    <w:p w14:paraId="0AF68292" w14:textId="574C715C" w:rsidR="00BF3375" w:rsidRDefault="00BF3375" w:rsidP="004130B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The Parochial Church Council’s (PCC) policy is to use </w:t>
      </w:r>
      <w:r w:rsidR="002A3D03"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>gifts in wills</w:t>
      </w:r>
      <w:r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 to fund development work inside our church buildings and wider parish. This could be building maintenance and improvements, purchasing new equipment, music or investing in people. It is a great help if </w:t>
      </w:r>
      <w:r w:rsidR="002A3D03"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>gifts in wills</w:t>
      </w:r>
      <w:r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 are left for general purposes so that we can decide where the need is greatest at any time. </w:t>
      </w:r>
    </w:p>
    <w:p w14:paraId="2AA5AB04" w14:textId="77777777" w:rsidR="00F234F2" w:rsidRPr="003065FA" w:rsidRDefault="00F234F2" w:rsidP="004130B9">
      <w:pPr>
        <w:pStyle w:val="ListParagraph"/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</w:p>
    <w:p w14:paraId="72CAC6A2" w14:textId="309E9511" w:rsidR="00AB7EA4" w:rsidRDefault="00E47E72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>The PCC</w:t>
      </w:r>
      <w:r w:rsidR="00845CB7"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 will not exert undue influence on a potential legator (the person/s who wishes to make the Will). </w:t>
      </w:r>
    </w:p>
    <w:p w14:paraId="4EC97422" w14:textId="77777777" w:rsidR="00F234F2" w:rsidRPr="003065FA" w:rsidRDefault="00F234F2" w:rsidP="004130B9">
      <w:pPr>
        <w:pStyle w:val="ListParagraph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</w:p>
    <w:p w14:paraId="01CBEAF2" w14:textId="3825414A" w:rsidR="00AB7EA4" w:rsidRPr="003065FA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The </w:t>
      </w:r>
      <w:r w:rsidR="00E47E72"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>PCC will</w:t>
      </w:r>
      <w:r w:rsidRPr="003065FA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 ensure that all legacy fundraising activity is undertaken whilst considering: </w:t>
      </w:r>
    </w:p>
    <w:p w14:paraId="09EE9FE8" w14:textId="207AE703" w:rsidR="00C013C5" w:rsidRPr="003065FA" w:rsidRDefault="00845CB7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potential legator’s freedom to provide for </w:t>
      </w:r>
      <w:r w:rsidR="00962623" w:rsidRPr="003065FA">
        <w:rPr>
          <w:rFonts w:ascii="Tahoma" w:eastAsia="Times New Roman" w:hAnsi="Tahoma" w:cs="Tahoma"/>
          <w:sz w:val="22"/>
          <w:szCs w:val="22"/>
          <w:lang w:eastAsia="en-GB"/>
        </w:rPr>
        <w:t>their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family and others</w:t>
      </w:r>
    </w:p>
    <w:p w14:paraId="38620C0D" w14:textId="7ED92872" w:rsidR="00C013C5" w:rsidRDefault="00845CB7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sensitivities of the potential legator and </w:t>
      </w:r>
      <w:r w:rsidR="00962623" w:rsidRPr="003065FA">
        <w:rPr>
          <w:rFonts w:ascii="Tahoma" w:eastAsia="Times New Roman" w:hAnsi="Tahoma" w:cs="Tahoma"/>
          <w:sz w:val="22"/>
          <w:szCs w:val="22"/>
          <w:lang w:eastAsia="en-GB"/>
        </w:rPr>
        <w:t>their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family and friends</w:t>
      </w:r>
      <w:r w:rsidR="003B7D3C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75A5D8E2" w14:textId="77777777" w:rsidR="00F234F2" w:rsidRPr="003065FA" w:rsidRDefault="00F234F2" w:rsidP="004130B9">
      <w:pPr>
        <w:pStyle w:val="ListParagraph"/>
        <w:spacing w:before="100" w:beforeAutospacing="1" w:after="100" w:afterAutospacing="1"/>
        <w:ind w:left="1440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211129F6" w14:textId="767E59D3" w:rsidR="00C013C5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E47E72" w:rsidRPr="003065FA">
        <w:rPr>
          <w:rFonts w:ascii="Tahoma" w:eastAsia="Times New Roman" w:hAnsi="Tahoma" w:cs="Tahoma"/>
          <w:sz w:val="22"/>
          <w:szCs w:val="22"/>
          <w:lang w:eastAsia="en-GB"/>
        </w:rPr>
        <w:t>PCC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will not provide legal advice. </w:t>
      </w:r>
    </w:p>
    <w:p w14:paraId="6848DA14" w14:textId="77777777" w:rsidR="00F234F2" w:rsidRPr="003065FA" w:rsidRDefault="00F234F2" w:rsidP="004130B9">
      <w:pPr>
        <w:pStyle w:val="ListParagraph"/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5678C97C" w14:textId="4DE316CB" w:rsidR="00C013C5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E47E72" w:rsidRPr="003065FA">
        <w:rPr>
          <w:rFonts w:ascii="Tahoma" w:eastAsia="Times New Roman" w:hAnsi="Tahoma" w:cs="Tahoma"/>
          <w:sz w:val="22"/>
          <w:szCs w:val="22"/>
          <w:lang w:eastAsia="en-GB"/>
        </w:rPr>
        <w:t>PCC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will not act as an executor to a potential legator’s Will. </w:t>
      </w:r>
    </w:p>
    <w:p w14:paraId="1BEE484F" w14:textId="77777777" w:rsidR="00F234F2" w:rsidRPr="003065FA" w:rsidRDefault="00F234F2" w:rsidP="004130B9">
      <w:pPr>
        <w:pStyle w:val="ListParagraph"/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2F44D6E4" w14:textId="753290DD" w:rsidR="00C013C5" w:rsidRDefault="005808AA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All promotional material </w:t>
      </w:r>
      <w:r w:rsidR="00E47E72" w:rsidRPr="003065FA">
        <w:rPr>
          <w:rFonts w:ascii="Tahoma" w:eastAsia="Times New Roman" w:hAnsi="Tahoma" w:cs="Tahoma"/>
          <w:sz w:val="22"/>
          <w:szCs w:val="22"/>
          <w:lang w:eastAsia="en-GB"/>
        </w:rPr>
        <w:t>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make clear that the contents are not intended to constitute legal advice and 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that 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>potential legators should seek their own professional advice.</w:t>
      </w:r>
    </w:p>
    <w:p w14:paraId="2FEC631A" w14:textId="77777777" w:rsidR="00F234F2" w:rsidRPr="003065FA" w:rsidRDefault="00F234F2" w:rsidP="004130B9">
      <w:pPr>
        <w:pStyle w:val="ListParagraph"/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75CF779" w14:textId="1AA296D1" w:rsidR="00C52EC7" w:rsidRPr="00F234F2" w:rsidRDefault="004515AE" w:rsidP="004130B9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 xml:space="preserve">The </w:t>
      </w:r>
      <w:r w:rsidR="00156379"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>PCC</w:t>
      </w:r>
      <w:r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 xml:space="preserve"> will be</w:t>
      </w:r>
      <w:r w:rsidR="00C52EC7"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 xml:space="preserve"> open about the reason for an invitation to an event if it is about </w:t>
      </w:r>
      <w:hyperlink r:id="rId5" w:history="1">
        <w:r w:rsidR="00C52EC7" w:rsidRPr="003065FA">
          <w:rPr>
            <w:rFonts w:ascii="Tahoma" w:eastAsia="Times New Roman" w:hAnsi="Tahoma" w:cs="Tahoma"/>
            <w:color w:val="110A1D"/>
            <w:sz w:val="22"/>
            <w:szCs w:val="22"/>
            <w:u w:val="single"/>
            <w:lang w:eastAsia="en-GB"/>
          </w:rPr>
          <w:t>legacies</w:t>
        </w:r>
      </w:hyperlink>
      <w:r w:rsidR="00C52EC7"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> or if </w:t>
      </w:r>
      <w:r w:rsidR="00C52EC7" w:rsidRPr="003065FA">
        <w:rPr>
          <w:rFonts w:ascii="Tahoma" w:eastAsia="Times New Roman" w:hAnsi="Tahoma" w:cs="Tahoma"/>
          <w:sz w:val="22"/>
          <w:szCs w:val="22"/>
          <w:lang w:eastAsia="en-GB"/>
        </w:rPr>
        <w:t>legacies </w:t>
      </w:r>
      <w:r w:rsidR="00C52EC7"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>will be discussed and may be asked for.</w:t>
      </w:r>
    </w:p>
    <w:p w14:paraId="621AD71C" w14:textId="77777777" w:rsidR="00F234F2" w:rsidRPr="00F234F2" w:rsidRDefault="00F234F2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7C864D77" w14:textId="3624FD3F" w:rsidR="00C013C5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If the</w:t>
      </w:r>
      <w:r w:rsidR="00156379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PCC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provides potential legators with suggested wording regarding the name </w:t>
      </w:r>
      <w:r w:rsidR="005808AA" w:rsidRPr="003065FA">
        <w:rPr>
          <w:rFonts w:ascii="Tahoma" w:eastAsia="Times New Roman" w:hAnsi="Tahoma" w:cs="Tahoma"/>
          <w:sz w:val="22"/>
          <w:szCs w:val="22"/>
          <w:lang w:eastAsia="en-GB"/>
        </w:rPr>
        <w:t>and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charity details to be included in their Wills, they</w:t>
      </w:r>
      <w:r w:rsidR="005808AA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must 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ensure that the suggested wording is accurate (which may involve seeking legal advice) and that the </w:t>
      </w:r>
      <w:r w:rsidR="00156379" w:rsidRPr="003065FA">
        <w:rPr>
          <w:rFonts w:ascii="Tahoma" w:eastAsia="Times New Roman" w:hAnsi="Tahoma" w:cs="Tahoma"/>
          <w:sz w:val="22"/>
          <w:szCs w:val="22"/>
          <w:lang w:eastAsia="en-GB"/>
        </w:rPr>
        <w:t>PCC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is correctly identified. </w:t>
      </w:r>
    </w:p>
    <w:p w14:paraId="56843311" w14:textId="77777777" w:rsidR="00F234F2" w:rsidRPr="00F234F2" w:rsidRDefault="00F234F2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7F25899D" w14:textId="0D01D6AB" w:rsidR="00C013C5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156379" w:rsidRPr="003065FA">
        <w:rPr>
          <w:rFonts w:ascii="Tahoma" w:eastAsia="Times New Roman" w:hAnsi="Tahoma" w:cs="Tahoma"/>
          <w:sz w:val="22"/>
          <w:szCs w:val="22"/>
          <w:lang w:eastAsia="en-GB"/>
        </w:rPr>
        <w:t>PCC 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consider the needs and situation of vulnerable individuals before embarking on face-to-face legacy fundraising activity</w:t>
      </w:r>
      <w:r w:rsidR="00C013C5" w:rsidRPr="003065FA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61CE6367" w14:textId="77777777" w:rsidR="00F234F2" w:rsidRPr="00F234F2" w:rsidRDefault="00F234F2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C51BBBF" w14:textId="5A2303B9" w:rsidR="00C013C5" w:rsidRDefault="005808AA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156379" w:rsidRPr="003065FA">
        <w:rPr>
          <w:rFonts w:ascii="Tahoma" w:eastAsia="Times New Roman" w:hAnsi="Tahoma" w:cs="Tahoma"/>
          <w:sz w:val="22"/>
          <w:szCs w:val="22"/>
          <w:lang w:eastAsia="en-GB"/>
        </w:rPr>
        <w:t>PCC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156379" w:rsidRPr="003065FA">
        <w:rPr>
          <w:rFonts w:ascii="Tahoma" w:eastAsia="Times New Roman" w:hAnsi="Tahoma" w:cs="Tahoma"/>
          <w:sz w:val="22"/>
          <w:szCs w:val="22"/>
          <w:lang w:eastAsia="en-GB"/>
        </w:rPr>
        <w:t>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not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be exploitative in their ‘use’ of beneficiaries or supporters as case studies or </w:t>
      </w:r>
      <w:proofErr w:type="gramStart"/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>testimonials, and</w:t>
      </w:r>
      <w:proofErr w:type="gramEnd"/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must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respect their dignity and privacy.</w:t>
      </w:r>
    </w:p>
    <w:p w14:paraId="5C6EC7B7" w14:textId="77777777" w:rsidR="00F234F2" w:rsidRPr="00F234F2" w:rsidRDefault="00F234F2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25A7C8DE" w14:textId="63E697F6" w:rsidR="00DE2FB4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Individual face-to-face meetings in a potential legator’s home to discuss legacies</w:t>
      </w:r>
      <w:r w:rsidR="00F45C42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will</w:t>
      </w:r>
      <w:r w:rsidR="00F234F2">
        <w:rPr>
          <w:rFonts w:ascii="Tahoma" w:eastAsia="Times New Roman" w:hAnsi="Tahoma" w:cs="Tahoma"/>
          <w:sz w:val="22"/>
          <w:szCs w:val="22"/>
          <w:lang w:eastAsia="en-GB"/>
        </w:rPr>
        <w:t>:</w:t>
      </w:r>
    </w:p>
    <w:p w14:paraId="36CCAAC9" w14:textId="77777777" w:rsidR="00F234F2" w:rsidRPr="00F234F2" w:rsidRDefault="00F234F2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F7274E3" w14:textId="3547D3E7" w:rsidR="00DE2FB4" w:rsidRPr="003065FA" w:rsidRDefault="00A33090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 xml:space="preserve">only occur if </w:t>
      </w:r>
      <w:r w:rsidR="00DE2FB4"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 xml:space="preserve">consent by the potential legator to the meeting </w:t>
      </w:r>
      <w:r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 xml:space="preserve">has been </w:t>
      </w:r>
      <w:r w:rsidR="00DE2FB4"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>freely given</w:t>
      </w:r>
      <w:r w:rsidR="003B34B8"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 xml:space="preserve"> and on the clear understanding that the meeting will discuss a potential </w:t>
      </w:r>
      <w:r w:rsidR="002A3D03" w:rsidRPr="003065FA">
        <w:rPr>
          <w:rFonts w:ascii="Tahoma" w:eastAsia="Times New Roman" w:hAnsi="Tahoma" w:cs="Tahoma"/>
          <w:color w:val="110A1D"/>
          <w:sz w:val="22"/>
          <w:szCs w:val="22"/>
          <w:shd w:val="clear" w:color="auto" w:fill="FFFFFF"/>
          <w:lang w:eastAsia="en-GB"/>
        </w:rPr>
        <w:t>gift in a will</w:t>
      </w:r>
    </w:p>
    <w:p w14:paraId="395A77AB" w14:textId="0E8C3E89" w:rsidR="00C013C5" w:rsidRPr="003065FA" w:rsidRDefault="005808AA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not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occur without that person having first had the opportunity to decline the meeting</w:t>
      </w:r>
    </w:p>
    <w:p w14:paraId="0F05B0A8" w14:textId="46C516FF" w:rsidR="00F45C42" w:rsidRPr="003065FA" w:rsidRDefault="005808AA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lastRenderedPageBreak/>
        <w:t>be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undertaken 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sensitively and without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undue pressure or influence</w:t>
      </w:r>
    </w:p>
    <w:p w14:paraId="65289852" w14:textId="203FB30F" w:rsidR="00C013C5" w:rsidRPr="003065FA" w:rsidRDefault="00845CB7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accept the right of the potential legator to terminate the face-to-face meeting at any time</w:t>
      </w:r>
    </w:p>
    <w:p w14:paraId="57277512" w14:textId="6BF196B8" w:rsidR="00C013C5" w:rsidRDefault="00E745DA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be recorded by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notes of communications with the potential legator 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which will be kept 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>on file</w:t>
      </w:r>
      <w:r w:rsidR="003B7D3C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1099BCFC" w14:textId="77777777" w:rsidR="00580AD7" w:rsidRPr="003065FA" w:rsidRDefault="00580AD7" w:rsidP="004130B9">
      <w:pPr>
        <w:pStyle w:val="ListParagraph"/>
        <w:spacing w:before="100" w:beforeAutospacing="1" w:after="100" w:afterAutospacing="1"/>
        <w:ind w:left="1440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18A9BDB4" w14:textId="74F3D561" w:rsidR="00C013C5" w:rsidRDefault="00AB7EA4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PCC 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not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be directly involved in drafting 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or signing or witnessing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w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ills in favour of the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PCC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494DCF2B" w14:textId="77777777" w:rsidR="00580AD7" w:rsidRPr="003065FA" w:rsidRDefault="00580AD7" w:rsidP="004130B9">
      <w:pPr>
        <w:pStyle w:val="ListParagraph"/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79F70313" w14:textId="491171DF" w:rsidR="00C013C5" w:rsidRDefault="00AB7EA4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Individuals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not 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take advantage of their 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involvement with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the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PCC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to solicit a personal </w:t>
      </w:r>
      <w:r w:rsidR="002A3D03" w:rsidRPr="003065FA">
        <w:rPr>
          <w:rFonts w:ascii="Tahoma" w:eastAsia="Times New Roman" w:hAnsi="Tahoma" w:cs="Tahoma"/>
          <w:sz w:val="22"/>
          <w:szCs w:val="22"/>
          <w:lang w:eastAsia="en-GB"/>
        </w:rPr>
        <w:t>gift in a will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. </w:t>
      </w:r>
    </w:p>
    <w:p w14:paraId="68C277E4" w14:textId="77777777" w:rsidR="00580AD7" w:rsidRPr="00580AD7" w:rsidRDefault="00580AD7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FDA4253" w14:textId="68CE0E99" w:rsidR="00C013C5" w:rsidRDefault="00AB7EA4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PCC will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respect the wishes of the legator if they want no further marketing communications (which would include any fundraising requests)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2637C234" w14:textId="77777777" w:rsidR="00580AD7" w:rsidRPr="00580AD7" w:rsidRDefault="00580AD7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3339528" w14:textId="2429DE97" w:rsidR="00C013C5" w:rsidRDefault="00AB7EA4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If a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legator or potential legator asks the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PCC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to explain to disinherited family members why they are being disinherited, the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PCC will</w:t>
      </w:r>
      <w:r w:rsidR="00845CB7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decline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29D54AE2" w14:textId="77777777" w:rsidR="00580AD7" w:rsidRPr="00580AD7" w:rsidRDefault="00580AD7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1AEC163" w14:textId="6719D122" w:rsidR="00C013C5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If a </w:t>
      </w:r>
      <w:r w:rsidR="002A3D03" w:rsidRPr="003065FA">
        <w:rPr>
          <w:rFonts w:ascii="Tahoma" w:eastAsia="Times New Roman" w:hAnsi="Tahoma" w:cs="Tahoma"/>
          <w:sz w:val="22"/>
          <w:szCs w:val="22"/>
          <w:lang w:eastAsia="en-GB"/>
        </w:rPr>
        <w:t>gift in a 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is left with a request/wish, rather than subject to conditions, </w:t>
      </w:r>
      <w:r w:rsidR="00AB7EA4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PCC 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proofErr w:type="gramStart"/>
      <w:r w:rsidR="00E745DA" w:rsidRPr="003065FA">
        <w:rPr>
          <w:rFonts w:ascii="Tahoma" w:eastAsia="Times New Roman" w:hAnsi="Tahoma" w:cs="Tahoma"/>
          <w:sz w:val="22"/>
          <w:szCs w:val="22"/>
          <w:lang w:eastAsia="en-GB"/>
        </w:rPr>
        <w:t>give consideration to</w:t>
      </w:r>
      <w:proofErr w:type="gramEnd"/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the legator’s wishes. </w:t>
      </w:r>
    </w:p>
    <w:p w14:paraId="0E0B6CFA" w14:textId="77777777" w:rsidR="00580AD7" w:rsidRPr="00580AD7" w:rsidRDefault="00580AD7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4B176C1" w14:textId="7AF1F1C6" w:rsidR="00527803" w:rsidRPr="00580AD7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If a </w:t>
      </w:r>
      <w:r w:rsidR="002A3D03" w:rsidRPr="003065FA">
        <w:rPr>
          <w:rFonts w:ascii="Tahoma" w:eastAsia="Times New Roman" w:hAnsi="Tahoma" w:cs="Tahoma"/>
          <w:sz w:val="22"/>
          <w:szCs w:val="22"/>
          <w:lang w:eastAsia="en-GB"/>
        </w:rPr>
        <w:t>gift in a 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is left on condition of, or subject to, a binding obligation that it must be used for a particular purpose or project or such like, </w:t>
      </w:r>
      <w:r w:rsidR="00C013C5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E02F16" w:rsidRPr="003065FA">
        <w:rPr>
          <w:rFonts w:ascii="Tahoma" w:eastAsia="Times New Roman" w:hAnsi="Tahoma" w:cs="Tahoma"/>
          <w:sz w:val="22"/>
          <w:szCs w:val="22"/>
          <w:lang w:eastAsia="en-GB"/>
        </w:rPr>
        <w:t>PCC will</w:t>
      </w:r>
      <w:r w:rsidR="00FE30D7"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> </w:t>
      </w:r>
      <w:r w:rsidR="008056C3"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 xml:space="preserve">first </w:t>
      </w:r>
      <w:r w:rsidR="00FE30D7"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 xml:space="preserve">contact </w:t>
      </w:r>
      <w:r w:rsidR="008056C3"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 xml:space="preserve">the executor and then </w:t>
      </w:r>
      <w:r w:rsidR="00FE30D7"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>the Charity Commission for England and Wales</w:t>
      </w:r>
      <w:r w:rsidR="00945F9F"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 xml:space="preserve"> </w:t>
      </w:r>
      <w:r w:rsidR="00FE30D7"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>if</w:t>
      </w:r>
      <w:r w:rsidR="00E02F16"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>:</w:t>
      </w:r>
    </w:p>
    <w:p w14:paraId="4314F515" w14:textId="77777777" w:rsidR="00580AD7" w:rsidRPr="00580AD7" w:rsidRDefault="00580AD7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E3CB7AB" w14:textId="51AC8188" w:rsidR="00527803" w:rsidRPr="003065FA" w:rsidRDefault="00FE30D7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>the purpose has been fulfilled or otherwise provided for</w:t>
      </w:r>
    </w:p>
    <w:p w14:paraId="3045E395" w14:textId="2D0DA558" w:rsidR="00527803" w:rsidRPr="003065FA" w:rsidRDefault="00FE30D7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>the money or gift can no longer be used for that purpose</w:t>
      </w:r>
    </w:p>
    <w:p w14:paraId="19A5B432" w14:textId="318E8FBD" w:rsidR="00FE30D7" w:rsidRPr="00580AD7" w:rsidRDefault="00FE30D7" w:rsidP="004130B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>the intended purpose has stopped being a suitable and effective use of the money or does not provide a use for all the money</w:t>
      </w:r>
    </w:p>
    <w:p w14:paraId="345FCA33" w14:textId="77777777" w:rsidR="00580AD7" w:rsidRPr="003065FA" w:rsidRDefault="00580AD7" w:rsidP="004130B9">
      <w:pPr>
        <w:pStyle w:val="ListParagraph"/>
        <w:spacing w:before="100" w:beforeAutospacing="1" w:after="100" w:afterAutospacing="1"/>
        <w:ind w:left="1440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4DD7528B" w14:textId="59DCCA30" w:rsidR="00FE30D7" w:rsidRDefault="00FE30D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color w:val="110A1D"/>
          <w:sz w:val="22"/>
          <w:szCs w:val="22"/>
          <w:lang w:eastAsia="en-GB"/>
        </w:rPr>
        <w:t xml:space="preserve">If </w:t>
      </w:r>
      <w:r w:rsidR="00527803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BF77ED" w:rsidRPr="003065FA">
        <w:rPr>
          <w:rFonts w:ascii="Tahoma" w:eastAsia="Times New Roman" w:hAnsi="Tahoma" w:cs="Tahoma"/>
          <w:sz w:val="22"/>
          <w:szCs w:val="22"/>
          <w:lang w:eastAsia="en-GB"/>
        </w:rPr>
        <w:t>gift in the will</w:t>
      </w:r>
      <w:r w:rsidR="004E7DCC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527803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conditions can be fulfilled and the </w:t>
      </w:r>
      <w:r w:rsidR="00BF77ED" w:rsidRPr="003065FA">
        <w:rPr>
          <w:rFonts w:ascii="Tahoma" w:eastAsia="Times New Roman" w:hAnsi="Tahoma" w:cs="Tahoma"/>
          <w:sz w:val="22"/>
          <w:szCs w:val="22"/>
          <w:lang w:eastAsia="en-GB"/>
        </w:rPr>
        <w:t>gift</w:t>
      </w:r>
      <w:r w:rsidR="00527803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is accepted, the </w:t>
      </w:r>
      <w:r w:rsidR="00E02F16" w:rsidRPr="003065FA">
        <w:rPr>
          <w:rFonts w:ascii="Tahoma" w:eastAsia="Times New Roman" w:hAnsi="Tahoma" w:cs="Tahoma"/>
          <w:sz w:val="22"/>
          <w:szCs w:val="22"/>
          <w:lang w:eastAsia="en-GB"/>
        </w:rPr>
        <w:t>PCC will</w:t>
      </w:r>
      <w:r w:rsidR="00527803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follow those conditions.</w:t>
      </w:r>
    </w:p>
    <w:p w14:paraId="06456E1B" w14:textId="77777777" w:rsidR="00580AD7" w:rsidRPr="003065FA" w:rsidRDefault="00580AD7" w:rsidP="004130B9">
      <w:pPr>
        <w:pStyle w:val="ListParagraph"/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5E010A40" w14:textId="309DAD0B" w:rsidR="00C013C5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lang w:eastAsia="en-GB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="00E02F16" w:rsidRPr="003065FA">
        <w:rPr>
          <w:rFonts w:ascii="Tahoma" w:eastAsia="Times New Roman" w:hAnsi="Tahoma" w:cs="Tahoma"/>
          <w:sz w:val="22"/>
          <w:szCs w:val="22"/>
          <w:lang w:eastAsia="en-GB"/>
        </w:rPr>
        <w:t>PCC will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 respect the legator’s or their estate’s wishes about any public recognition of the gift. </w:t>
      </w:r>
    </w:p>
    <w:p w14:paraId="3CB44838" w14:textId="77777777" w:rsidR="00580AD7" w:rsidRPr="00580AD7" w:rsidRDefault="00580AD7" w:rsidP="004130B9">
      <w:pPr>
        <w:pStyle w:val="ListParagrap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43874E8C" w14:textId="49330434" w:rsidR="003A401E" w:rsidRPr="003065FA" w:rsidRDefault="00845CB7" w:rsidP="004130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</w:rPr>
      </w:pPr>
      <w:r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Where case studies are sought, permission </w:t>
      </w:r>
      <w:r w:rsidR="00E02F16" w:rsidRPr="003065FA">
        <w:rPr>
          <w:rFonts w:ascii="Tahoma" w:eastAsia="Times New Roman" w:hAnsi="Tahoma" w:cs="Tahoma"/>
          <w:sz w:val="22"/>
          <w:szCs w:val="22"/>
          <w:lang w:eastAsia="en-GB"/>
        </w:rPr>
        <w:t xml:space="preserve">will </w:t>
      </w:r>
      <w:r w:rsidRPr="003065FA">
        <w:rPr>
          <w:rFonts w:ascii="Tahoma" w:eastAsia="Times New Roman" w:hAnsi="Tahoma" w:cs="Tahoma"/>
          <w:sz w:val="22"/>
          <w:szCs w:val="22"/>
          <w:lang w:eastAsia="en-GB"/>
        </w:rPr>
        <w:t>be obtained from the next of kin, where possible.</w:t>
      </w:r>
    </w:p>
    <w:p w14:paraId="45352458" w14:textId="77777777" w:rsidR="00C85D84" w:rsidRPr="003065FA" w:rsidRDefault="00C85D84" w:rsidP="003065FA">
      <w:pPr>
        <w:pStyle w:val="ListParagraph"/>
        <w:spacing w:before="100" w:beforeAutospacing="1" w:after="100" w:afterAutospacing="1"/>
        <w:jc w:val="both"/>
        <w:rPr>
          <w:rStyle w:val="Emphasis"/>
          <w:rFonts w:ascii="Tahoma" w:hAnsi="Tahoma" w:cs="Tahoma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</w:pPr>
    </w:p>
    <w:p w14:paraId="2EF1E38F" w14:textId="77777777" w:rsidR="00526474" w:rsidRDefault="00526474" w:rsidP="00526474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  <w:t>Date: ………………………………………………….</w:t>
      </w:r>
    </w:p>
    <w:p w14:paraId="10B3B6C6" w14:textId="77777777" w:rsidR="00526474" w:rsidRDefault="00526474" w:rsidP="00526474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</w:p>
    <w:p w14:paraId="59778AE4" w14:textId="77777777" w:rsidR="00526474" w:rsidRPr="00F84722" w:rsidRDefault="00526474" w:rsidP="00526474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  <w:t>Contact Details: ………………………………</w:t>
      </w:r>
      <w:proofErr w:type="gramStart"/>
      <w:r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  <w:t>…..</w:t>
      </w:r>
      <w:proofErr w:type="gramEnd"/>
    </w:p>
    <w:p w14:paraId="1E956FF7" w14:textId="615FA646" w:rsidR="00CA7B99" w:rsidRPr="00845CB7" w:rsidRDefault="003B7D3C" w:rsidP="00040B1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cstheme="minorHAnsi"/>
          <w:color w:val="000000" w:themeColor="text1"/>
        </w:rPr>
      </w:pPr>
      <w:r>
        <w:rPr>
          <w:rFonts w:ascii="Tahoma" w:hAnsi="Tahoma" w:cs="Tahoma"/>
          <w:b/>
          <w:bCs/>
          <w:noProof/>
          <w:color w:val="000000" w:themeColor="text1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D7AA32C" wp14:editId="149FD70F">
            <wp:simplePos x="0" y="0"/>
            <wp:positionH relativeFrom="column">
              <wp:posOffset>959617</wp:posOffset>
            </wp:positionH>
            <wp:positionV relativeFrom="paragraph">
              <wp:posOffset>302358</wp:posOffset>
            </wp:positionV>
            <wp:extent cx="3605530" cy="1389380"/>
            <wp:effectExtent l="0" t="0" r="0" b="1270"/>
            <wp:wrapThrough wrapText="bothSides">
              <wp:wrapPolygon edited="0">
                <wp:start x="0" y="0"/>
                <wp:lineTo x="0" y="21324"/>
                <wp:lineTo x="21455" y="21324"/>
                <wp:lineTo x="21455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7B99" w:rsidRPr="00845CB7" w:rsidSect="003B7D3C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7454"/>
    <w:multiLevelType w:val="multilevel"/>
    <w:tmpl w:val="073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441BE"/>
    <w:multiLevelType w:val="hybridMultilevel"/>
    <w:tmpl w:val="4A58A96C"/>
    <w:lvl w:ilvl="0" w:tplc="56C65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7D45"/>
    <w:multiLevelType w:val="multilevel"/>
    <w:tmpl w:val="2BA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A4218"/>
    <w:multiLevelType w:val="multilevel"/>
    <w:tmpl w:val="B642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E73E2"/>
    <w:multiLevelType w:val="multilevel"/>
    <w:tmpl w:val="DC38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2920D8"/>
    <w:multiLevelType w:val="hybridMultilevel"/>
    <w:tmpl w:val="571EA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5B65"/>
    <w:multiLevelType w:val="hybridMultilevel"/>
    <w:tmpl w:val="DECA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46D14"/>
    <w:multiLevelType w:val="multilevel"/>
    <w:tmpl w:val="C92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630477">
    <w:abstractNumId w:val="4"/>
  </w:num>
  <w:num w:numId="2" w16cid:durableId="1422918431">
    <w:abstractNumId w:val="5"/>
  </w:num>
  <w:num w:numId="3" w16cid:durableId="1167131248">
    <w:abstractNumId w:val="1"/>
  </w:num>
  <w:num w:numId="4" w16cid:durableId="324016001">
    <w:abstractNumId w:val="2"/>
  </w:num>
  <w:num w:numId="5" w16cid:durableId="1126117606">
    <w:abstractNumId w:val="0"/>
  </w:num>
  <w:num w:numId="6" w16cid:durableId="895974820">
    <w:abstractNumId w:val="7"/>
  </w:num>
  <w:num w:numId="7" w16cid:durableId="1232735292">
    <w:abstractNumId w:val="3"/>
  </w:num>
  <w:num w:numId="8" w16cid:durableId="1264414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B7"/>
    <w:rsid w:val="00040B1E"/>
    <w:rsid w:val="000429CD"/>
    <w:rsid w:val="00093BC9"/>
    <w:rsid w:val="001112AE"/>
    <w:rsid w:val="00114E4D"/>
    <w:rsid w:val="00156379"/>
    <w:rsid w:val="002A3D03"/>
    <w:rsid w:val="002E1EBA"/>
    <w:rsid w:val="003065FA"/>
    <w:rsid w:val="0039049E"/>
    <w:rsid w:val="003A401E"/>
    <w:rsid w:val="003B34B8"/>
    <w:rsid w:val="003B7D3C"/>
    <w:rsid w:val="003C767E"/>
    <w:rsid w:val="004130B9"/>
    <w:rsid w:val="004515AE"/>
    <w:rsid w:val="004E7DCC"/>
    <w:rsid w:val="00504669"/>
    <w:rsid w:val="00526474"/>
    <w:rsid w:val="00527803"/>
    <w:rsid w:val="005808AA"/>
    <w:rsid w:val="00580AD7"/>
    <w:rsid w:val="005C2968"/>
    <w:rsid w:val="005F32F3"/>
    <w:rsid w:val="0071571B"/>
    <w:rsid w:val="007A4141"/>
    <w:rsid w:val="008056C3"/>
    <w:rsid w:val="008125FA"/>
    <w:rsid w:val="00834D45"/>
    <w:rsid w:val="00845CB7"/>
    <w:rsid w:val="00866A77"/>
    <w:rsid w:val="00945F9F"/>
    <w:rsid w:val="00962623"/>
    <w:rsid w:val="00A33090"/>
    <w:rsid w:val="00AB7EA4"/>
    <w:rsid w:val="00B479FB"/>
    <w:rsid w:val="00BF3375"/>
    <w:rsid w:val="00BF77ED"/>
    <w:rsid w:val="00C013C5"/>
    <w:rsid w:val="00C40FA6"/>
    <w:rsid w:val="00C52EC7"/>
    <w:rsid w:val="00C82A5E"/>
    <w:rsid w:val="00C85D84"/>
    <w:rsid w:val="00CA7B99"/>
    <w:rsid w:val="00DD7607"/>
    <w:rsid w:val="00DE2FB4"/>
    <w:rsid w:val="00DE495C"/>
    <w:rsid w:val="00E02F16"/>
    <w:rsid w:val="00E47E72"/>
    <w:rsid w:val="00E745DA"/>
    <w:rsid w:val="00F234F2"/>
    <w:rsid w:val="00F45C42"/>
    <w:rsid w:val="00FD6661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4E39"/>
  <w15:chartTrackingRefBased/>
  <w15:docId w15:val="{76C09B86-938A-774B-B088-345E332D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C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845CB7"/>
    <w:rPr>
      <w:i/>
      <w:iCs/>
    </w:rPr>
  </w:style>
  <w:style w:type="character" w:customStyle="1" w:styleId="apple-converted-space">
    <w:name w:val="apple-converted-space"/>
    <w:basedOn w:val="DefaultParagraphFont"/>
    <w:rsid w:val="00845CB7"/>
  </w:style>
  <w:style w:type="character" w:styleId="Hyperlink">
    <w:name w:val="Hyperlink"/>
    <w:basedOn w:val="DefaultParagraphFont"/>
    <w:uiPriority w:val="99"/>
    <w:semiHidden/>
    <w:unhideWhenUsed/>
    <w:rsid w:val="00845C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5CB7"/>
    <w:rPr>
      <w:b/>
      <w:bCs/>
    </w:rPr>
  </w:style>
  <w:style w:type="paragraph" w:styleId="ListParagraph">
    <w:name w:val="List Paragraph"/>
    <w:basedOn w:val="Normal"/>
    <w:uiPriority w:val="34"/>
    <w:qFormat/>
    <w:rsid w:val="00AB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undraisingregulator.org.uk/code/specific-fundraising-methods/lega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Christine Stokes</dc:creator>
  <cp:keywords/>
  <dc:description/>
  <cp:lastModifiedBy>Leonie Ryle</cp:lastModifiedBy>
  <cp:revision>2</cp:revision>
  <dcterms:created xsi:type="dcterms:W3CDTF">2022-11-03T15:32:00Z</dcterms:created>
  <dcterms:modified xsi:type="dcterms:W3CDTF">2022-11-03T15:32:00Z</dcterms:modified>
</cp:coreProperties>
</file>